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Arial" w:eastAsia="黑体"/>
          <w:sz w:val="24"/>
        </w:rPr>
      </w:pPr>
      <w:r>
        <w:rPr>
          <w:rFonts w:hint="eastAsia" w:ascii="黑体" w:hAnsi="Arial" w:eastAsia="黑体"/>
          <w:sz w:val="24"/>
        </w:rPr>
        <w:t>课程教学大纲（201</w:t>
      </w:r>
      <w:r>
        <w:rPr>
          <w:rFonts w:hint="eastAsia" w:ascii="黑体" w:hAnsi="Arial" w:eastAsia="黑体"/>
          <w:sz w:val="24"/>
          <w:lang w:val="en-US" w:eastAsia="zh-CN"/>
        </w:rPr>
        <w:t>8</w:t>
      </w:r>
      <w:r>
        <w:rPr>
          <w:rFonts w:hint="eastAsia" w:ascii="黑体" w:hAnsi="Arial" w:eastAsia="黑体"/>
          <w:sz w:val="24"/>
        </w:rPr>
        <w:t>-201</w:t>
      </w:r>
      <w:r>
        <w:rPr>
          <w:rFonts w:hint="eastAsia" w:ascii="黑体" w:hAnsi="Arial" w:eastAsia="黑体"/>
          <w:sz w:val="24"/>
          <w:lang w:val="en-US" w:eastAsia="zh-CN"/>
        </w:rPr>
        <w:t>9</w:t>
      </w:r>
      <w:r>
        <w:rPr>
          <w:rFonts w:hint="eastAsia" w:ascii="黑体" w:hAnsi="Arial" w:eastAsia="黑体"/>
          <w:sz w:val="24"/>
        </w:rPr>
        <w:t>学年第一学期）</w:t>
      </w:r>
    </w:p>
    <w:p>
      <w:pPr>
        <w:rPr>
          <w:rFonts w:ascii="黑体" w:hAnsi="Arial" w:eastAsia="黑体"/>
          <w:sz w:val="24"/>
        </w:rPr>
      </w:pPr>
    </w:p>
    <w:p>
      <w:pPr>
        <w:rPr>
          <w:rFonts w:ascii="Arial" w:hAnsi="Arial"/>
          <w:b/>
          <w:sz w:val="24"/>
        </w:rPr>
      </w:pPr>
      <w:r>
        <w:rPr>
          <w:rFonts w:hint="eastAsia" w:ascii="黑体" w:hAnsi="Arial" w:eastAsia="黑体"/>
          <w:sz w:val="24"/>
        </w:rPr>
        <w:t>课程名称</w:t>
      </w:r>
      <w:r>
        <w:rPr>
          <w:rFonts w:ascii="Arial" w:hAnsi="Arial"/>
          <w:b/>
          <w:sz w:val="24"/>
        </w:rPr>
        <w:t>:</w:t>
      </w:r>
      <w:r>
        <w:rPr>
          <w:rFonts w:hint="eastAsia" w:ascii="Arial" w:hAnsi="Arial"/>
          <w:b/>
          <w:sz w:val="24"/>
        </w:rPr>
        <w:t>中西商业文明比较研究</w:t>
      </w:r>
      <w:r>
        <w:rPr>
          <w:rFonts w:hint="eastAsia" w:ascii="黑体" w:hAnsi="Arial" w:eastAsia="黑体"/>
          <w:sz w:val="24"/>
        </w:rPr>
        <w:t xml:space="preserve">    </w:t>
      </w:r>
      <w:r>
        <w:rPr>
          <w:rFonts w:hint="eastAsia" w:ascii="Arial" w:hAnsi="Arial"/>
          <w:b/>
          <w:sz w:val="24"/>
        </w:rPr>
        <w:t xml:space="preserve">           </w:t>
      </w:r>
    </w:p>
    <w:p>
      <w:pPr>
        <w:rPr>
          <w:sz w:val="24"/>
        </w:rPr>
      </w:pPr>
      <w:r>
        <w:rPr>
          <w:sz w:val="24"/>
        </w:rPr>
        <mc:AlternateContent>
          <mc:Choice Requires="wps">
            <w:drawing>
              <wp:inline distT="0" distB="0" distL="114300" distR="114300">
                <wp:extent cx="5276850" cy="47625"/>
                <wp:effectExtent l="0" t="0" r="0" b="9525"/>
                <wp:docPr id="1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276850" cy="4762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id="矩形 3" o:spid="_x0000_s1026" o:spt="1" style="flip:y;height:3.75pt;width:415.5pt;" fillcolor="#808080" filled="t" stroked="f" coordsize="21600,21600" o:gfxdata="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">
                <v:fill on="t" focussize="0,0"/>
                <v:stroke on="f"/>
                <v:imagedata o:title=""/>
                <o:lock v:ext="edit" aspectratio="f"/>
                <w10:wrap type="none"/>
                <w10:anchorlock/>
              </v:rect>
            </w:pict>
          </mc:Fallback>
        </mc:AlternateContent>
      </w:r>
    </w:p>
    <w:p>
      <w:pPr>
        <w:rPr>
          <w:rFonts w:ascii="Arial" w:hAnsi="Arial" w:cs="Arial"/>
          <w:b/>
          <w:bCs/>
          <w:szCs w:val="21"/>
        </w:rPr>
      </w:pPr>
      <w:r>
        <w:rPr>
          <w:rFonts w:hint="eastAsia" w:ascii="黑体" w:hAnsi="Arial" w:eastAsia="黑体"/>
          <w:sz w:val="24"/>
        </w:rPr>
        <w:t>授课教师</w:t>
      </w:r>
      <w:r>
        <w:rPr>
          <w:rFonts w:ascii="Arial" w:hAnsi="Arial" w:cs="Arial"/>
          <w:b/>
          <w:bCs/>
          <w:szCs w:val="21"/>
        </w:rPr>
        <w:t>:</w:t>
      </w:r>
      <w:r>
        <w:rPr>
          <w:rFonts w:hint="eastAsia" w:ascii="Arial" w:hAnsi="Arial" w:cs="Arial"/>
          <w:b/>
          <w:bCs/>
          <w:szCs w:val="21"/>
        </w:rPr>
        <w:t xml:space="preserve"> 杨晓民                           </w:t>
      </w:r>
      <w:r>
        <w:rPr>
          <w:rFonts w:hint="eastAsia" w:ascii="黑体" w:hAnsi="Arial" w:eastAsia="黑体"/>
          <w:sz w:val="24"/>
        </w:rPr>
        <w:t>电子邮箱</w:t>
      </w:r>
      <w:r>
        <w:rPr>
          <w:rFonts w:ascii="黑体" w:hAnsi="Arial" w:eastAsia="黑体"/>
          <w:sz w:val="24"/>
        </w:rPr>
        <w:t>:yxiaomin66@163.com</w:t>
      </w:r>
      <w:r>
        <w:rPr>
          <w:rFonts w:hint="eastAsia" w:ascii="黑体" w:hAnsi="Arial" w:eastAsia="黑体"/>
          <w:sz w:val="24"/>
        </w:rPr>
        <w:t xml:space="preserve">   </w:t>
      </w:r>
      <w:r>
        <w:rPr>
          <w:rFonts w:hint="eastAsia" w:ascii="Arial" w:hAnsi="Arial" w:cs="Arial"/>
          <w:szCs w:val="21"/>
        </w:rPr>
        <w:t xml:space="preserve">                </w:t>
      </w:r>
    </w:p>
    <w:p>
      <w:pPr>
        <w:ind w:left="240" w:hanging="240" w:hangingChars="100"/>
        <w:rPr>
          <w:rFonts w:hint="eastAsia" w:ascii="Arial" w:hAnsi="Arial" w:eastAsia="宋体" w:cs="Arial"/>
          <w:b/>
          <w:bCs/>
          <w:szCs w:val="21"/>
          <w:lang w:eastAsia="zh-CN"/>
        </w:rPr>
      </w:pPr>
      <w:r>
        <w:rPr>
          <w:rFonts w:hint="eastAsia" w:ascii="黑体" w:hAnsi="Arial" w:eastAsia="黑体"/>
          <w:sz w:val="24"/>
        </w:rPr>
        <w:t>授课对象</w:t>
      </w:r>
      <w:r>
        <w:rPr>
          <w:rFonts w:ascii="Arial" w:hAnsi="Arial" w:cs="Arial"/>
          <w:b/>
          <w:bCs/>
          <w:szCs w:val="21"/>
        </w:rPr>
        <w:t xml:space="preserve">: </w:t>
      </w:r>
      <w:r>
        <w:rPr>
          <w:rFonts w:hint="eastAsia" w:ascii="Arial" w:hAnsi="Arial" w:cs="Arial"/>
          <w:b/>
          <w:bCs/>
          <w:szCs w:val="21"/>
          <w:lang w:eastAsia="zh-CN"/>
        </w:rPr>
        <w:t>本科生</w:t>
      </w:r>
      <w:bookmarkStart w:id="0" w:name="_GoBack"/>
      <w:bookmarkEnd w:id="0"/>
    </w:p>
    <w:p>
      <w:pPr>
        <w:ind w:left="240" w:hanging="240" w:hangingChars="100"/>
        <w:rPr>
          <w:rFonts w:ascii="Arial" w:hAnsi="Arial" w:cs="Arial"/>
          <w:szCs w:val="21"/>
        </w:rPr>
      </w:pPr>
      <w:r>
        <w:rPr>
          <w:rFonts w:hint="eastAsia" w:ascii="黑体" w:hAnsi="Arial" w:eastAsia="黑体"/>
          <w:sz w:val="24"/>
        </w:rPr>
        <w:t>授课时间</w:t>
      </w:r>
      <w:r>
        <w:rPr>
          <w:rFonts w:hint="eastAsia" w:ascii="Arial" w:hAnsi="Arial" w:cs="Arial"/>
          <w:b/>
          <w:bCs/>
          <w:szCs w:val="21"/>
        </w:rPr>
        <w:t>: 201</w:t>
      </w:r>
      <w:r>
        <w:rPr>
          <w:rFonts w:hint="eastAsia" w:ascii="Arial" w:hAnsi="Arial" w:cs="Arial"/>
          <w:b/>
          <w:bCs/>
          <w:szCs w:val="21"/>
          <w:lang w:val="en-US" w:eastAsia="zh-CN"/>
        </w:rPr>
        <w:t>8</w:t>
      </w:r>
      <w:r>
        <w:rPr>
          <w:rFonts w:hint="eastAsia" w:ascii="Arial" w:hAnsi="Arial" w:cs="Arial"/>
          <w:b/>
          <w:bCs/>
          <w:szCs w:val="21"/>
        </w:rPr>
        <w:t>-201</w:t>
      </w:r>
      <w:r>
        <w:rPr>
          <w:rFonts w:hint="eastAsia" w:ascii="Arial" w:hAnsi="Arial" w:cs="Arial"/>
          <w:b/>
          <w:bCs/>
          <w:szCs w:val="21"/>
          <w:lang w:val="en-US" w:eastAsia="zh-CN"/>
        </w:rPr>
        <w:t>9</w:t>
      </w:r>
      <w:r>
        <w:rPr>
          <w:rFonts w:hint="eastAsia" w:ascii="Arial" w:hAnsi="Arial" w:cs="Arial"/>
          <w:b/>
          <w:bCs/>
          <w:szCs w:val="21"/>
        </w:rPr>
        <w:t>年上学期               授课地点：</w:t>
      </w:r>
      <w:r>
        <w:rPr>
          <w:rFonts w:hint="eastAsia" w:ascii="Arial" w:hAnsi="Arial" w:cs="Arial"/>
          <w:bCs/>
          <w:szCs w:val="21"/>
        </w:rPr>
        <w:t xml:space="preserve">                                                                </w:t>
      </w:r>
    </w:p>
    <w:p>
      <w:pPr>
        <w:ind w:left="210" w:hanging="210" w:hangingChars="100"/>
        <w:rPr>
          <w:rFonts w:ascii="Arial" w:hAnsi="Arial" w:cs="Arial"/>
          <w:b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                                   </w:t>
      </w:r>
      <w:r>
        <w:rPr>
          <w:rFonts w:hint="eastAsia" w:ascii="Arial" w:hAnsi="Arial" w:cs="Arial"/>
          <w:b/>
          <w:bCs/>
          <w:szCs w:val="21"/>
        </w:rPr>
        <w:t xml:space="preserve">                        </w:t>
      </w:r>
    </w:p>
    <w:p>
      <w:pPr>
        <w:ind w:left="240" w:hanging="240" w:hangingChars="100"/>
        <w:rPr>
          <w:rFonts w:ascii="Arial" w:hAnsi="Arial" w:cs="Arial"/>
          <w:bCs/>
          <w:szCs w:val="21"/>
        </w:rPr>
      </w:pPr>
      <w:r>
        <w:rPr>
          <w:rFonts w:hint="eastAsia" w:ascii="黑体" w:hAnsi="Arial" w:eastAsia="黑体"/>
          <w:sz w:val="24"/>
        </w:rPr>
        <w:t>答疑时间</w:t>
      </w:r>
      <w:r>
        <w:rPr>
          <w:rFonts w:hint="eastAsia" w:ascii="Arial" w:hAnsi="Arial" w:cs="Arial"/>
          <w:b/>
          <w:bCs/>
          <w:szCs w:val="21"/>
        </w:rPr>
        <w:t xml:space="preserve">:                     </w:t>
      </w:r>
      <w:r>
        <w:rPr>
          <w:rFonts w:hint="eastAsia" w:ascii="Arial" w:hAnsi="Arial" w:cs="Arial"/>
          <w:bCs/>
          <w:szCs w:val="21"/>
        </w:rPr>
        <w:t xml:space="preserve">             </w:t>
      </w:r>
      <w:r>
        <w:rPr>
          <w:rFonts w:hint="eastAsia" w:ascii="黑体" w:hAnsi="Arial" w:eastAsia="黑体"/>
          <w:sz w:val="24"/>
        </w:rPr>
        <w:t>办公地址</w:t>
      </w:r>
      <w:r>
        <w:rPr>
          <w:rFonts w:hint="eastAsia" w:ascii="Arial" w:hAnsi="Arial" w:cs="Arial"/>
          <w:b/>
          <w:bCs/>
          <w:szCs w:val="21"/>
        </w:rPr>
        <w:t>: 国际大厦</w:t>
      </w:r>
    </w:p>
    <w:p>
      <w:pPr>
        <w:rPr>
          <w:sz w:val="24"/>
        </w:rPr>
      </w:pPr>
      <w:r>
        <w:rPr>
          <w:rFonts w:ascii="Arial" w:hAnsi="Arial" w:cs="Arial"/>
          <w:szCs w:val="20"/>
        </w:rPr>
        <mc:AlternateContent>
          <mc:Choice Requires="wps">
            <w:drawing>
              <wp:inline distT="0" distB="0" distL="114300" distR="114300">
                <wp:extent cx="5276850" cy="47625"/>
                <wp:effectExtent l="0" t="0" r="0" b="9525"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76850" cy="4762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id="_x0000_s1026" o:spid="_x0000_s1026" o:spt="1" style="height:3.75pt;width:415.5pt;" fillcolor="#808080" filled="t" stroked="f" coordsize="21600,21600" o:gfxdata="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">
                <v:fill on="t" focussize="0,0"/>
                <v:stroke on="f"/>
                <v:imagedata o:title=""/>
                <o:lock v:ext="edit" aspectratio="f"/>
                <w10:wrap type="none"/>
                <w10:anchorlock/>
              </v:rect>
            </w:pict>
          </mc:Fallback>
        </mc:AlternateContent>
      </w:r>
    </w:p>
    <w:p>
      <w:pPr>
        <w:rPr>
          <w:sz w:val="24"/>
        </w:rPr>
      </w:pPr>
      <w:r>
        <w:rPr>
          <w:rFonts w:hint="eastAsia" w:ascii="黑体" w:hAnsi="Arial" w:eastAsia="黑体"/>
          <w:sz w:val="24"/>
        </w:rPr>
        <w:t>一、教学目的</w:t>
      </w:r>
      <w:r>
        <w:rPr>
          <w:sz w:val="24"/>
        </w:rPr>
        <w:t xml:space="preserve"> </w:t>
      </w:r>
    </w:p>
    <w:p>
      <w:pPr>
        <w:widowControl/>
        <w:numPr>
          <w:ilvl w:val="0"/>
          <w:numId w:val="1"/>
        </w:numPr>
        <w:autoSpaceDE w:val="0"/>
        <w:autoSpaceDN w:val="0"/>
        <w:spacing w:line="380" w:lineRule="exact"/>
        <w:textAlignment w:val="bottom"/>
        <w:rPr>
          <w:rFonts w:ascii="华文楷体" w:hAnsi="华文楷体" w:eastAsia="华文楷体"/>
          <w:b/>
          <w:sz w:val="24"/>
        </w:rPr>
      </w:pPr>
      <w:r>
        <w:rPr>
          <w:rFonts w:hint="eastAsia" w:ascii="华文楷体" w:hAnsi="华文楷体" w:eastAsia="华文楷体"/>
          <w:b/>
          <w:sz w:val="24"/>
        </w:rPr>
        <w:t>知识目标</w:t>
      </w:r>
      <w:r>
        <w:rPr>
          <w:rFonts w:hint="eastAsia"/>
          <w:sz w:val="24"/>
        </w:rPr>
        <w:t>：</w:t>
      </w:r>
      <w:r>
        <w:rPr>
          <w:rFonts w:hint="eastAsia" w:ascii="华文楷体" w:hAnsi="华文楷体" w:eastAsia="华文楷体"/>
          <w:b/>
          <w:sz w:val="24"/>
        </w:rPr>
        <w:t>以中国传统商帮徽商为个案，探究地理大发现后中西商业文明的不同制度选择与转型路径。</w:t>
      </w:r>
    </w:p>
    <w:p>
      <w:pPr>
        <w:widowControl/>
        <w:numPr>
          <w:ilvl w:val="0"/>
          <w:numId w:val="1"/>
        </w:numPr>
        <w:autoSpaceDE w:val="0"/>
        <w:autoSpaceDN w:val="0"/>
        <w:spacing w:line="380" w:lineRule="exact"/>
        <w:textAlignment w:val="bottom"/>
        <w:rPr>
          <w:rFonts w:ascii="华文楷体" w:hAnsi="华文楷体" w:eastAsia="华文楷体"/>
          <w:b/>
          <w:sz w:val="24"/>
        </w:rPr>
      </w:pPr>
      <w:r>
        <w:rPr>
          <w:rFonts w:hint="eastAsia" w:ascii="华文楷体" w:hAnsi="华文楷体" w:eastAsia="华文楷体"/>
          <w:b/>
          <w:sz w:val="24"/>
        </w:rPr>
        <w:t>能力目标：培养学生进行中西方商业文明转型比较的判断力，同时培养学生策划、结构大型历史人文纪录片的实操能力。</w:t>
      </w:r>
    </w:p>
    <w:p>
      <w:pPr>
        <w:widowControl/>
        <w:autoSpaceDE w:val="0"/>
        <w:autoSpaceDN w:val="0"/>
        <w:spacing w:line="380" w:lineRule="exact"/>
        <w:textAlignment w:val="bottom"/>
        <w:rPr>
          <w:rFonts w:ascii="黑体" w:hAnsi="Arial" w:eastAsia="黑体"/>
          <w:sz w:val="24"/>
        </w:rPr>
      </w:pPr>
      <w:r>
        <w:rPr>
          <w:rFonts w:hint="eastAsia" w:ascii="黑体" w:hAnsi="Arial" w:eastAsia="黑体"/>
          <w:sz w:val="24"/>
        </w:rPr>
        <w:t>二、教学内容及安排</w:t>
      </w:r>
    </w:p>
    <w:tbl>
      <w:tblPr>
        <w:tblStyle w:val="11"/>
        <w:tblW w:w="8329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"/>
        <w:gridCol w:w="1086"/>
        <w:gridCol w:w="4299"/>
        <w:gridCol w:w="208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3" w:type="dxa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华文楷体" w:hAnsi="华文楷体" w:eastAsia="华文楷体"/>
                <w:b/>
                <w:sz w:val="24"/>
              </w:rPr>
            </w:pPr>
            <w:r>
              <w:rPr>
                <w:rFonts w:hint="eastAsia" w:ascii="华文楷体" w:hAnsi="华文楷体" w:eastAsia="华文楷体"/>
                <w:b/>
              </w:rPr>
              <w:t>教学周</w:t>
            </w:r>
          </w:p>
        </w:tc>
        <w:tc>
          <w:tcPr>
            <w:tcW w:w="1086" w:type="dxa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华文楷体" w:hAnsi="华文楷体" w:eastAsia="华文楷体"/>
                <w:b/>
              </w:rPr>
            </w:pPr>
            <w:r>
              <w:rPr>
                <w:rFonts w:hint="eastAsia" w:ascii="华文楷体" w:hAnsi="华文楷体" w:eastAsia="华文楷体"/>
                <w:b/>
              </w:rPr>
              <w:t>日期</w:t>
            </w:r>
          </w:p>
        </w:tc>
        <w:tc>
          <w:tcPr>
            <w:tcW w:w="4299" w:type="dxa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华文楷体" w:hAnsi="华文楷体" w:eastAsia="华文楷体"/>
                <w:b/>
              </w:rPr>
            </w:pPr>
            <w:r>
              <w:rPr>
                <w:rFonts w:hint="eastAsia" w:ascii="华文楷体" w:hAnsi="华文楷体" w:eastAsia="华文楷体"/>
                <w:b/>
              </w:rPr>
              <w:t>教学内容</w:t>
            </w:r>
          </w:p>
        </w:tc>
        <w:tc>
          <w:tcPr>
            <w:tcW w:w="2081" w:type="dxa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华文楷体" w:hAnsi="华文楷体" w:eastAsia="华文楷体"/>
                <w:b/>
              </w:rPr>
            </w:pPr>
            <w:r>
              <w:rPr>
                <w:rFonts w:hint="eastAsia" w:ascii="华文楷体" w:hAnsi="华文楷体" w:eastAsia="华文楷体"/>
                <w:b/>
              </w:rPr>
              <w:t>作业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863" w:type="dxa"/>
            <w:vAlign w:val="center"/>
          </w:tcPr>
          <w:p>
            <w:pPr>
              <w:spacing w:line="260" w:lineRule="exact"/>
              <w:jc w:val="center"/>
              <w:rPr>
                <w:rFonts w:ascii="华文楷体" w:hAnsi="华文楷体" w:eastAsia="华文楷体"/>
                <w:szCs w:val="21"/>
              </w:rPr>
            </w:pPr>
            <w:r>
              <w:rPr>
                <w:rFonts w:ascii="华文楷体" w:hAnsi="华文楷体" w:eastAsia="华文楷体"/>
                <w:szCs w:val="21"/>
              </w:rPr>
              <w:t>1</w:t>
            </w:r>
          </w:p>
        </w:tc>
        <w:tc>
          <w:tcPr>
            <w:tcW w:w="1086" w:type="dxa"/>
            <w:vAlign w:val="center"/>
          </w:tcPr>
          <w:p>
            <w:pPr>
              <w:spacing w:line="260" w:lineRule="exact"/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4299" w:type="dxa"/>
            <w:tcBorders>
              <w:bottom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第一章 徽商形成的历史文化传统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徽州与徽文化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徽商的形成和发展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徽商“贾而好儒”的厚重与局限性</w:t>
            </w:r>
          </w:p>
          <w:p>
            <w:pPr>
              <w:numPr>
                <w:ilvl w:val="0"/>
                <w:numId w:val="2"/>
              </w:numPr>
              <w:spacing w:line="2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徽商与晋商比较分析</w:t>
            </w:r>
          </w:p>
          <w:p>
            <w:pPr>
              <w:spacing w:line="260" w:lineRule="exact"/>
              <w:rPr>
                <w:rFonts w:ascii="华文楷体" w:hAnsi="华文楷体" w:eastAsia="华文楷体"/>
                <w:b/>
                <w:szCs w:val="21"/>
              </w:rPr>
            </w:pPr>
            <w:r>
              <w:rPr>
                <w:rFonts w:hint="eastAsia" w:ascii="华文楷体" w:hAnsi="华文楷体" w:eastAsia="华文楷体"/>
                <w:b/>
                <w:szCs w:val="21"/>
              </w:rPr>
              <w:t>（纪录片表达中的历史地理元素的呈现）</w:t>
            </w:r>
          </w:p>
        </w:tc>
        <w:tc>
          <w:tcPr>
            <w:tcW w:w="2081" w:type="dxa"/>
            <w:vAlign w:val="center"/>
          </w:tcPr>
          <w:p>
            <w:pPr>
              <w:spacing w:line="260" w:lineRule="exact"/>
              <w:ind w:left="284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阅读参考书，同时思考儒学与中国传统商业的关系？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863" w:type="dxa"/>
            <w:vAlign w:val="center"/>
          </w:tcPr>
          <w:p>
            <w:pPr>
              <w:spacing w:line="260" w:lineRule="exact"/>
              <w:jc w:val="center"/>
              <w:rPr>
                <w:rFonts w:ascii="华文楷体" w:hAnsi="华文楷体" w:eastAsia="华文楷体"/>
                <w:szCs w:val="21"/>
              </w:rPr>
            </w:pPr>
            <w:r>
              <w:rPr>
                <w:rFonts w:ascii="华文楷体" w:hAnsi="华文楷体" w:eastAsia="华文楷体"/>
                <w:szCs w:val="21"/>
              </w:rPr>
              <w:t>2</w:t>
            </w:r>
          </w:p>
        </w:tc>
        <w:tc>
          <w:tcPr>
            <w:tcW w:w="1086" w:type="dxa"/>
            <w:vAlign w:val="center"/>
          </w:tcPr>
          <w:p>
            <w:pPr>
              <w:spacing w:line="260" w:lineRule="exact"/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4299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spacing w:line="2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第二章 徽商资本的来源与徽商海商早期冒险精神的丧失</w:t>
            </w:r>
          </w:p>
          <w:p>
            <w:pPr>
              <w:spacing w:line="2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1．徽商资本积累的模式</w:t>
            </w:r>
          </w:p>
          <w:p>
            <w:pPr>
              <w:spacing w:line="2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2．徽商资本的组合形式及经营活动</w:t>
            </w:r>
          </w:p>
          <w:p>
            <w:pPr>
              <w:spacing w:line="2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3．西方航海大发现与明清政府的闭关锁国政策比较分析</w:t>
            </w:r>
          </w:p>
          <w:p>
            <w:pPr>
              <w:spacing w:line="2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4．徽商海商的兴起和衰落</w:t>
            </w:r>
          </w:p>
          <w:p>
            <w:pPr>
              <w:spacing w:line="2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b/>
                <w:szCs w:val="21"/>
              </w:rPr>
              <w:t>（抽象价值的影像转换）</w:t>
            </w:r>
          </w:p>
        </w:tc>
        <w:tc>
          <w:tcPr>
            <w:tcW w:w="2081" w:type="dxa"/>
            <w:vAlign w:val="center"/>
          </w:tcPr>
          <w:p>
            <w:pPr>
              <w:spacing w:line="2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怎样认识大航海时代是中西方历史的拐点？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863" w:type="dxa"/>
            <w:tcBorders>
              <w:bottom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华文楷体" w:hAnsi="华文楷体" w:eastAsia="华文楷体"/>
                <w:szCs w:val="21"/>
              </w:rPr>
            </w:pPr>
            <w:r>
              <w:rPr>
                <w:rFonts w:ascii="华文楷体" w:hAnsi="华文楷体" w:eastAsia="华文楷体"/>
                <w:szCs w:val="21"/>
              </w:rPr>
              <w:t>3</w:t>
            </w:r>
          </w:p>
        </w:tc>
        <w:tc>
          <w:tcPr>
            <w:tcW w:w="1086" w:type="dxa"/>
            <w:tcBorders>
              <w:bottom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4299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2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第三章 徽商官商结合的历史特征</w:t>
            </w:r>
          </w:p>
          <w:p>
            <w:pPr>
              <w:spacing w:line="2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1．徽商在两淮盐业经营中的垄断地位</w:t>
            </w:r>
            <w:r>
              <w:rPr>
                <w:rFonts w:ascii="华文楷体" w:hAnsi="华文楷体" w:eastAsia="华文楷体"/>
                <w:szCs w:val="21"/>
              </w:rPr>
              <w:t xml:space="preserve"> </w:t>
            </w:r>
          </w:p>
          <w:p>
            <w:pPr>
              <w:spacing w:line="2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2．徽商与封建政治势力的紧密关系</w:t>
            </w:r>
          </w:p>
          <w:p>
            <w:pPr>
              <w:spacing w:line="2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3．中国国有专营制度的演变与固化</w:t>
            </w:r>
          </w:p>
          <w:p>
            <w:pPr>
              <w:spacing w:line="2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4. 中国政商博弈的历史密码</w:t>
            </w:r>
          </w:p>
          <w:p>
            <w:pPr>
              <w:spacing w:line="260" w:lineRule="exact"/>
              <w:rPr>
                <w:rFonts w:ascii="华文楷体" w:hAnsi="华文楷体" w:eastAsia="华文楷体"/>
                <w:b/>
                <w:szCs w:val="21"/>
              </w:rPr>
            </w:pPr>
            <w:r>
              <w:rPr>
                <w:rFonts w:hint="eastAsia" w:ascii="华文楷体" w:hAnsi="华文楷体" w:eastAsia="华文楷体"/>
                <w:b/>
                <w:szCs w:val="21"/>
              </w:rPr>
              <w:t>（人物叙事在纪录片中的重要地位）</w:t>
            </w:r>
          </w:p>
        </w:tc>
        <w:tc>
          <w:tcPr>
            <w:tcW w:w="2081" w:type="dxa"/>
            <w:tcBorders>
              <w:bottom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比较中西方政府与市场、国营与私有经济之间的关系？</w:t>
            </w:r>
            <w:r>
              <w:rPr>
                <w:rFonts w:ascii="华文楷体" w:hAnsi="华文楷体" w:eastAsia="华文楷体"/>
                <w:szCs w:val="21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8" w:hRule="atLeast"/>
          <w:jc w:val="center"/>
        </w:trPr>
        <w:tc>
          <w:tcPr>
            <w:tcW w:w="863" w:type="dxa"/>
            <w:vAlign w:val="center"/>
          </w:tcPr>
          <w:p>
            <w:pPr>
              <w:spacing w:line="260" w:lineRule="exact"/>
              <w:jc w:val="center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4</w:t>
            </w:r>
          </w:p>
        </w:tc>
        <w:tc>
          <w:tcPr>
            <w:tcW w:w="1086" w:type="dxa"/>
            <w:vAlign w:val="center"/>
          </w:tcPr>
          <w:p>
            <w:pPr>
              <w:spacing w:line="260" w:lineRule="exact"/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4299" w:type="dxa"/>
            <w:tcBorders>
              <w:top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 xml:space="preserve">第四章 徽商对明清时期长江中下游城镇发展的历史促进作用 </w:t>
            </w:r>
          </w:p>
          <w:p>
            <w:pPr>
              <w:spacing w:line="2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1.</w:t>
            </w:r>
            <w:r>
              <w:rPr>
                <w:rFonts w:hint="eastAsia" w:ascii="华文行楷" w:eastAsia="华文行楷" w:cs="+mn-cs"/>
                <w:color w:val="FFFFFF"/>
                <w:kern w:val="24"/>
                <w:sz w:val="40"/>
                <w:szCs w:val="40"/>
              </w:rPr>
              <w:t xml:space="preserve"> </w:t>
            </w:r>
            <w:r>
              <w:rPr>
                <w:rFonts w:hint="eastAsia" w:ascii="华文楷体" w:hAnsi="华文楷体" w:eastAsia="华文楷体"/>
                <w:szCs w:val="21"/>
              </w:rPr>
              <w:t>中国古代坊市制度的演变</w:t>
            </w:r>
          </w:p>
          <w:p>
            <w:pPr>
              <w:spacing w:line="2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2．徽商与上海、苏州、武汉、芜湖、扬州的城市发展</w:t>
            </w:r>
          </w:p>
          <w:p>
            <w:pPr>
              <w:spacing w:line="2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3．中西方商业与城市发展关系比较分析</w:t>
            </w:r>
          </w:p>
          <w:p>
            <w:pPr>
              <w:spacing w:line="2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b/>
                <w:szCs w:val="21"/>
              </w:rPr>
              <w:t>（细节运用在纪录片表达中的独特价值）</w:t>
            </w:r>
          </w:p>
        </w:tc>
        <w:tc>
          <w:tcPr>
            <w:tcW w:w="2081" w:type="dxa"/>
            <w:vAlign w:val="center"/>
          </w:tcPr>
          <w:p>
            <w:pPr>
              <w:spacing w:line="260" w:lineRule="exact"/>
              <w:jc w:val="lef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怎样认识商业文明和城市发展的关系？</w:t>
            </w:r>
            <w:r>
              <w:rPr>
                <w:rFonts w:ascii="华文楷体" w:hAnsi="华文楷体" w:eastAsia="华文楷体"/>
                <w:szCs w:val="21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863" w:type="dxa"/>
            <w:vAlign w:val="center"/>
          </w:tcPr>
          <w:p>
            <w:pPr>
              <w:spacing w:line="260" w:lineRule="exact"/>
              <w:jc w:val="center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5</w:t>
            </w:r>
          </w:p>
        </w:tc>
        <w:tc>
          <w:tcPr>
            <w:tcW w:w="1086" w:type="dxa"/>
            <w:vAlign w:val="center"/>
          </w:tcPr>
          <w:p>
            <w:pPr>
              <w:spacing w:line="260" w:lineRule="exact"/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4299" w:type="dxa"/>
            <w:shd w:val="clear" w:color="auto" w:fill="auto"/>
            <w:vAlign w:val="center"/>
          </w:tcPr>
          <w:p>
            <w:pPr>
              <w:spacing w:line="2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第五章 徽商资本的流向</w:t>
            </w:r>
          </w:p>
          <w:p>
            <w:pPr>
              <w:spacing w:line="2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1．徽商利润的封建化</w:t>
            </w:r>
          </w:p>
          <w:p>
            <w:pPr>
              <w:pStyle w:val="12"/>
              <w:numPr>
                <w:ilvl w:val="0"/>
                <w:numId w:val="3"/>
              </w:numPr>
              <w:spacing w:line="260" w:lineRule="exact"/>
              <w:ind w:firstLineChars="0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徽商企业制度</w:t>
            </w:r>
          </w:p>
          <w:p>
            <w:pPr>
              <w:pStyle w:val="12"/>
              <w:numPr>
                <w:ilvl w:val="0"/>
                <w:numId w:val="3"/>
              </w:numPr>
              <w:spacing w:line="260" w:lineRule="exact"/>
              <w:ind w:firstLineChars="0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徽商奢侈型心理分析</w:t>
            </w:r>
          </w:p>
          <w:p>
            <w:pPr>
              <w:spacing w:line="2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4.“韦伯式问题”：新教伦理与资本主义精神</w:t>
            </w:r>
          </w:p>
          <w:p>
            <w:pPr>
              <w:spacing w:line="2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b/>
                <w:szCs w:val="21"/>
              </w:rPr>
              <w:t>（建筑美学在纪录片中的应用）</w:t>
            </w:r>
          </w:p>
        </w:tc>
        <w:tc>
          <w:tcPr>
            <w:tcW w:w="2081" w:type="dxa"/>
            <w:vAlign w:val="center"/>
          </w:tcPr>
          <w:p>
            <w:pPr>
              <w:spacing w:line="260" w:lineRule="exact"/>
              <w:jc w:val="lef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徽商的商业利润没有向金融资本和产业资本转移的内在原因?</w:t>
            </w:r>
          </w:p>
          <w:p>
            <w:pPr>
              <w:spacing w:line="260" w:lineRule="exact"/>
              <w:jc w:val="left"/>
              <w:rPr>
                <w:rFonts w:ascii="华文楷体" w:hAnsi="华文楷体" w:eastAsia="华文楷体"/>
                <w:szCs w:val="21"/>
              </w:rPr>
            </w:pPr>
            <w:r>
              <w:rPr>
                <w:rFonts w:ascii="华文楷体" w:hAnsi="华文楷体" w:eastAsia="华文楷体"/>
                <w:szCs w:val="21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863" w:type="dxa"/>
            <w:vAlign w:val="center"/>
          </w:tcPr>
          <w:p>
            <w:pPr>
              <w:spacing w:line="260" w:lineRule="exact"/>
              <w:jc w:val="center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6</w:t>
            </w:r>
          </w:p>
        </w:tc>
        <w:tc>
          <w:tcPr>
            <w:tcW w:w="1086" w:type="dxa"/>
            <w:vAlign w:val="center"/>
          </w:tcPr>
          <w:p>
            <w:pPr>
              <w:spacing w:line="260" w:lineRule="exact"/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4299" w:type="dxa"/>
            <w:shd w:val="clear" w:color="auto" w:fill="auto"/>
            <w:vAlign w:val="center"/>
          </w:tcPr>
          <w:p>
            <w:pPr>
              <w:spacing w:line="2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第六章 徽商是塑造徽文化的巨大推力</w:t>
            </w:r>
          </w:p>
          <w:p>
            <w:pPr>
              <w:spacing w:line="2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1．徽徽商与徽州教育、新安医学、新安画派、扬州八怪</w:t>
            </w:r>
          </w:p>
          <w:p>
            <w:pPr>
              <w:spacing w:line="2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2．徽商与徽州建筑、园林、京剧</w:t>
            </w:r>
          </w:p>
          <w:p>
            <w:pPr>
              <w:spacing w:line="2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3．徽商之于徽文化与美第奇家族之于文艺复兴影响的比较分析</w:t>
            </w:r>
            <w:r>
              <w:rPr>
                <w:rFonts w:ascii="华文楷体" w:hAnsi="华文楷体" w:eastAsia="华文楷体"/>
                <w:szCs w:val="21"/>
              </w:rPr>
              <w:t xml:space="preserve"> </w:t>
            </w:r>
          </w:p>
          <w:p>
            <w:pPr>
              <w:spacing w:line="2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（</w:t>
            </w:r>
            <w:r>
              <w:rPr>
                <w:rFonts w:hint="eastAsia" w:ascii="华文楷体" w:hAnsi="华文楷体" w:eastAsia="华文楷体"/>
                <w:b/>
                <w:szCs w:val="21"/>
              </w:rPr>
              <w:t>结构在记录片表达中的决定意义</w:t>
            </w:r>
            <w:r>
              <w:rPr>
                <w:rFonts w:hint="eastAsia" w:ascii="华文楷体" w:hAnsi="华文楷体" w:eastAsia="华文楷体"/>
                <w:szCs w:val="21"/>
              </w:rPr>
              <w:t>）</w:t>
            </w:r>
          </w:p>
        </w:tc>
        <w:tc>
          <w:tcPr>
            <w:tcW w:w="2081" w:type="dxa"/>
            <w:vAlign w:val="center"/>
          </w:tcPr>
          <w:p>
            <w:pPr>
              <w:spacing w:line="260" w:lineRule="exact"/>
              <w:jc w:val="left"/>
              <w:rPr>
                <w:rFonts w:ascii="华文楷体" w:hAnsi="华文楷体" w:eastAsia="华文楷体"/>
                <w:szCs w:val="21"/>
              </w:rPr>
            </w:pPr>
          </w:p>
          <w:p>
            <w:pPr>
              <w:spacing w:line="260" w:lineRule="exact"/>
              <w:jc w:val="lef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商业发展对文化及社会发展的作用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863" w:type="dxa"/>
            <w:vAlign w:val="center"/>
          </w:tcPr>
          <w:p>
            <w:pPr>
              <w:spacing w:line="256" w:lineRule="exact"/>
              <w:jc w:val="center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7</w:t>
            </w:r>
          </w:p>
        </w:tc>
        <w:tc>
          <w:tcPr>
            <w:tcW w:w="1086" w:type="dxa"/>
            <w:vAlign w:val="center"/>
          </w:tcPr>
          <w:p>
            <w:pPr>
              <w:spacing w:line="260" w:lineRule="exact"/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4299" w:type="dxa"/>
            <w:shd w:val="clear" w:color="auto" w:fill="auto"/>
            <w:vAlign w:val="center"/>
          </w:tcPr>
          <w:p>
            <w:pPr>
              <w:spacing w:line="2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 xml:space="preserve">第七章 徽商的衰败与转型的可能性 </w:t>
            </w:r>
          </w:p>
          <w:p>
            <w:pPr>
              <w:spacing w:line="2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1．徽商的衰败</w:t>
            </w:r>
          </w:p>
          <w:p>
            <w:pPr>
              <w:spacing w:line="2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 xml:space="preserve">2．宁波商帮转型的案例分析 </w:t>
            </w:r>
          </w:p>
          <w:p>
            <w:pPr>
              <w:spacing w:line="2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3.</w:t>
            </w:r>
            <w:r>
              <w:rPr>
                <w:rFonts w:hint="eastAsia" w:ascii="华文行楷" w:eastAsia="华文行楷" w:cs="+mn-cs"/>
                <w:color w:val="FFFFFF"/>
                <w:kern w:val="24"/>
                <w:sz w:val="40"/>
                <w:szCs w:val="40"/>
              </w:rPr>
              <w:t xml:space="preserve"> </w:t>
            </w:r>
            <w:r>
              <w:rPr>
                <w:rFonts w:hint="eastAsia" w:ascii="华文楷体" w:hAnsi="华文楷体" w:eastAsia="华文楷体"/>
                <w:szCs w:val="21"/>
              </w:rPr>
              <w:t>中国传统商帮转型的困境</w:t>
            </w:r>
          </w:p>
          <w:p>
            <w:pPr>
              <w:spacing w:line="2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4.</w:t>
            </w:r>
            <w:r>
              <w:rPr>
                <w:rFonts w:hint="eastAsia" w:ascii="华文行楷" w:eastAsia="华文行楷" w:cs="+mn-cs"/>
                <w:color w:val="FFFFFF"/>
                <w:kern w:val="24"/>
                <w:sz w:val="40"/>
                <w:szCs w:val="40"/>
              </w:rPr>
              <w:t xml:space="preserve"> </w:t>
            </w:r>
            <w:r>
              <w:rPr>
                <w:rFonts w:hint="eastAsia" w:ascii="华文楷体" w:hAnsi="华文楷体" w:eastAsia="华文楷体"/>
                <w:szCs w:val="21"/>
              </w:rPr>
              <w:t>资本主义萌芽在中国产生的可能性分析</w:t>
            </w:r>
          </w:p>
        </w:tc>
        <w:tc>
          <w:tcPr>
            <w:tcW w:w="2081" w:type="dxa"/>
            <w:vAlign w:val="center"/>
          </w:tcPr>
          <w:p>
            <w:pPr>
              <w:spacing w:line="260" w:lineRule="exact"/>
              <w:jc w:val="lef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怎样看待中国传统商帮转型的困境？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863" w:type="dxa"/>
            <w:vAlign w:val="center"/>
          </w:tcPr>
          <w:p>
            <w:pPr>
              <w:spacing w:line="256" w:lineRule="exact"/>
              <w:jc w:val="center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8</w:t>
            </w:r>
          </w:p>
        </w:tc>
        <w:tc>
          <w:tcPr>
            <w:tcW w:w="1086" w:type="dxa"/>
            <w:vAlign w:val="center"/>
          </w:tcPr>
          <w:p>
            <w:pPr>
              <w:spacing w:line="256" w:lineRule="exact"/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4299" w:type="dxa"/>
            <w:shd w:val="clear" w:color="auto" w:fill="auto"/>
            <w:vAlign w:val="center"/>
          </w:tcPr>
          <w:p>
            <w:pPr>
              <w:spacing w:line="260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 xml:space="preserve">第八章 中西方家族企业与现代企业制度 </w:t>
            </w:r>
          </w:p>
          <w:p>
            <w:pPr>
              <w:spacing w:line="256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1．中国家族企业与现代企业制度的内在冲突</w:t>
            </w:r>
          </w:p>
          <w:p>
            <w:pPr>
              <w:spacing w:line="256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2. 日本家族企业</w:t>
            </w:r>
          </w:p>
          <w:p>
            <w:pPr>
              <w:spacing w:line="256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 xml:space="preserve">3. 欧美家族企业 </w:t>
            </w:r>
          </w:p>
          <w:p>
            <w:pPr>
              <w:spacing w:line="256" w:lineRule="exac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（</w:t>
            </w:r>
            <w:r>
              <w:rPr>
                <w:rFonts w:hint="eastAsia" w:ascii="华文楷体" w:hAnsi="华文楷体" w:eastAsia="华文楷体"/>
                <w:b/>
                <w:szCs w:val="21"/>
              </w:rPr>
              <w:t>纪录片中的诗意表达</w:t>
            </w:r>
            <w:r>
              <w:rPr>
                <w:rFonts w:hint="eastAsia" w:ascii="华文楷体" w:hAnsi="华文楷体" w:eastAsia="华文楷体"/>
                <w:szCs w:val="21"/>
              </w:rPr>
              <w:t>）</w:t>
            </w:r>
          </w:p>
        </w:tc>
        <w:tc>
          <w:tcPr>
            <w:tcW w:w="2081" w:type="dxa"/>
            <w:vAlign w:val="center"/>
          </w:tcPr>
          <w:p>
            <w:pPr>
              <w:spacing w:line="260" w:lineRule="exact"/>
              <w:jc w:val="left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家族企业制度向现代企业制度转型的内在困境？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863" w:type="dxa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1086" w:type="dxa"/>
            <w:vAlign w:val="center"/>
          </w:tcPr>
          <w:p>
            <w:pPr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4299" w:type="dxa"/>
            <w:shd w:val="clear" w:color="auto" w:fill="auto"/>
            <w:vAlign w:val="center"/>
          </w:tcPr>
          <w:p>
            <w:pPr>
              <w:ind w:left="360" w:firstLine="420" w:firstLineChars="200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期末复习答疑</w:t>
            </w:r>
          </w:p>
        </w:tc>
        <w:tc>
          <w:tcPr>
            <w:tcW w:w="2081" w:type="dxa"/>
            <w:vAlign w:val="center"/>
          </w:tcPr>
          <w:p>
            <w:pPr>
              <w:rPr>
                <w:rFonts w:ascii="华文楷体" w:hAnsi="华文楷体" w:eastAsia="华文楷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863" w:type="dxa"/>
            <w:shd w:val="clear" w:color="auto" w:fill="FFFFFF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>
            <w:pPr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4299" w:type="dxa"/>
            <w:shd w:val="clear" w:color="auto" w:fill="FFFFFF"/>
            <w:vAlign w:val="center"/>
          </w:tcPr>
          <w:p>
            <w:pPr>
              <w:ind w:firstLine="735" w:firstLineChars="350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期末考试</w:t>
            </w:r>
          </w:p>
        </w:tc>
        <w:tc>
          <w:tcPr>
            <w:tcW w:w="2081" w:type="dxa"/>
            <w:shd w:val="clear" w:color="auto" w:fill="FFFFFF"/>
            <w:vAlign w:val="center"/>
          </w:tcPr>
          <w:p>
            <w:pPr>
              <w:rPr>
                <w:rFonts w:ascii="华文楷体" w:hAnsi="华文楷体" w:eastAsia="华文楷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863" w:type="dxa"/>
            <w:shd w:val="clear" w:color="auto" w:fill="FFFFFF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7466" w:type="dxa"/>
            <w:gridSpan w:val="3"/>
            <w:shd w:val="clear" w:color="auto" w:fill="FFFFFF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考试周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863" w:type="dxa"/>
            <w:shd w:val="clear" w:color="auto" w:fill="FFFFFF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7466" w:type="dxa"/>
            <w:gridSpan w:val="3"/>
            <w:shd w:val="clear" w:color="auto" w:fill="FFFFFF"/>
            <w:vAlign w:val="center"/>
          </w:tcPr>
          <w:p>
            <w:pPr>
              <w:jc w:val="center"/>
              <w:rPr>
                <w:rFonts w:ascii="华文楷体" w:hAnsi="华文楷体" w:eastAsia="华文楷体"/>
                <w:szCs w:val="21"/>
              </w:rPr>
            </w:pPr>
            <w:r>
              <w:rPr>
                <w:rFonts w:hint="eastAsia" w:ascii="华文楷体" w:hAnsi="华文楷体" w:eastAsia="华文楷体"/>
                <w:szCs w:val="21"/>
              </w:rPr>
              <w:t>考试周</w:t>
            </w:r>
          </w:p>
        </w:tc>
      </w:tr>
    </w:tbl>
    <w:p>
      <w:pPr>
        <w:rPr>
          <w:rFonts w:ascii="黑体" w:hAnsi="Arial" w:eastAsia="黑体"/>
          <w:sz w:val="24"/>
        </w:rPr>
      </w:pPr>
    </w:p>
    <w:p>
      <w:pPr>
        <w:rPr>
          <w:rFonts w:ascii="黑体" w:hAnsi="Arial" w:eastAsia="黑体"/>
          <w:sz w:val="24"/>
        </w:rPr>
      </w:pPr>
      <w:r>
        <w:rPr>
          <w:rFonts w:hint="eastAsia" w:ascii="黑体" w:hAnsi="Arial" w:eastAsia="黑体"/>
          <w:sz w:val="24"/>
        </w:rPr>
        <w:t>三、教学要求</w:t>
      </w:r>
    </w:p>
    <w:p>
      <w:pPr>
        <w:rPr>
          <w:rFonts w:ascii="华文楷体" w:hAnsi="华文楷体" w:eastAsia="华文楷体"/>
          <w:sz w:val="24"/>
        </w:rPr>
      </w:pPr>
      <w:r>
        <w:rPr>
          <w:rFonts w:hint="eastAsia" w:ascii="华文楷体" w:hAnsi="华文楷体" w:eastAsia="华文楷体"/>
          <w:sz w:val="24"/>
        </w:rPr>
        <w:t>有中国传统文化的学习基础、准时出席课程、积极参加各种课堂活动、完成作业。</w:t>
      </w:r>
    </w:p>
    <w:p>
      <w:pPr>
        <w:rPr>
          <w:rFonts w:ascii="黑体" w:hAnsi="Arial" w:eastAsia="黑体"/>
          <w:sz w:val="24"/>
        </w:rPr>
      </w:pPr>
      <w:r>
        <w:rPr>
          <w:rFonts w:hint="eastAsia" w:ascii="黑体" w:hAnsi="Arial" w:eastAsia="黑体"/>
          <w:sz w:val="24"/>
        </w:rPr>
        <w:t>四、授课方式</w:t>
      </w:r>
    </w:p>
    <w:p>
      <w:pPr>
        <w:rPr>
          <w:rFonts w:ascii="华文楷体" w:hAnsi="华文楷体" w:eastAsia="华文楷体"/>
          <w:sz w:val="24"/>
        </w:rPr>
      </w:pPr>
      <w:r>
        <w:rPr>
          <w:rFonts w:hint="eastAsia" w:ascii="华文楷体" w:hAnsi="华文楷体" w:eastAsia="华文楷体"/>
          <w:sz w:val="24"/>
        </w:rPr>
        <w:t>课堂讲授、视频观看、课堂讨论、小组互动、文献阅读、测试。</w:t>
      </w:r>
    </w:p>
    <w:p>
      <w:pPr>
        <w:pStyle w:val="12"/>
        <w:numPr>
          <w:ilvl w:val="0"/>
          <w:numId w:val="4"/>
        </w:numPr>
        <w:ind w:firstLineChars="0"/>
        <w:rPr>
          <w:rFonts w:ascii="黑体" w:hAnsi="Arial" w:eastAsia="黑体"/>
          <w:sz w:val="24"/>
        </w:rPr>
      </w:pPr>
      <w:r>
        <w:rPr>
          <w:rFonts w:hint="eastAsia" w:ascii="黑体" w:hAnsi="Arial" w:eastAsia="黑体"/>
          <w:sz w:val="24"/>
        </w:rPr>
        <w:t>采用教材</w:t>
      </w:r>
    </w:p>
    <w:p>
      <w:pPr>
        <w:pStyle w:val="12"/>
        <w:widowControl/>
        <w:autoSpaceDE w:val="0"/>
        <w:autoSpaceDN w:val="0"/>
        <w:spacing w:line="380" w:lineRule="exact"/>
        <w:ind w:left="120" w:firstLine="0" w:firstLineChars="0"/>
        <w:textAlignment w:val="bottom"/>
        <w:rPr>
          <w:sz w:val="24"/>
        </w:rPr>
      </w:pPr>
      <w:r>
        <w:rPr>
          <w:rFonts w:hint="eastAsia" w:ascii="华文楷体" w:hAnsi="华文楷体" w:eastAsia="华文楷体"/>
          <w:b/>
          <w:sz w:val="24"/>
        </w:rPr>
        <w:t>参考资料</w:t>
      </w:r>
      <w:r>
        <w:rPr>
          <w:rFonts w:hint="eastAsia"/>
          <w:sz w:val="24"/>
        </w:rPr>
        <w:t>：</w:t>
      </w:r>
    </w:p>
    <w:p>
      <w:pPr>
        <w:widowControl/>
        <w:autoSpaceDE w:val="0"/>
        <w:autoSpaceDN w:val="0"/>
        <w:spacing w:line="380" w:lineRule="exact"/>
        <w:ind w:left="780"/>
        <w:textAlignment w:val="bottom"/>
        <w:rPr>
          <w:rFonts w:ascii="华文楷体" w:hAnsi="华文楷体" w:eastAsia="华文楷体"/>
          <w:sz w:val="24"/>
        </w:rPr>
      </w:pPr>
      <w:r>
        <w:rPr>
          <w:rFonts w:hint="eastAsia" w:ascii="华文楷体" w:hAnsi="华文楷体" w:eastAsia="华文楷体"/>
          <w:sz w:val="24"/>
        </w:rPr>
        <w:t>《徽商》，杨晓民总撰稿，人民文学出版社，2006,9</w:t>
      </w:r>
    </w:p>
    <w:p>
      <w:pPr>
        <w:widowControl/>
        <w:autoSpaceDE w:val="0"/>
        <w:autoSpaceDN w:val="0"/>
        <w:spacing w:line="380" w:lineRule="exact"/>
        <w:ind w:left="780"/>
        <w:textAlignment w:val="bottom"/>
        <w:rPr>
          <w:rFonts w:ascii="华文楷体" w:hAnsi="华文楷体" w:eastAsia="华文楷体"/>
          <w:sz w:val="24"/>
        </w:rPr>
      </w:pPr>
      <w:r>
        <w:rPr>
          <w:rFonts w:hint="eastAsia" w:ascii="华文楷体" w:hAnsi="华文楷体" w:eastAsia="华文楷体"/>
          <w:sz w:val="24"/>
        </w:rPr>
        <w:t>七集电视纪录片《徽商》（210分钟），杨晓民总撰稿，中国和平音像出版社，中央电视台播出</w:t>
      </w:r>
    </w:p>
    <w:p>
      <w:pPr>
        <w:widowControl/>
        <w:autoSpaceDE w:val="0"/>
        <w:autoSpaceDN w:val="0"/>
        <w:spacing w:line="380" w:lineRule="exact"/>
        <w:ind w:left="780"/>
        <w:textAlignment w:val="bottom"/>
        <w:rPr>
          <w:rFonts w:ascii="华文楷体" w:hAnsi="华文楷体" w:eastAsia="华文楷体"/>
          <w:sz w:val="24"/>
        </w:rPr>
      </w:pPr>
      <w:r>
        <w:rPr>
          <w:rFonts w:hint="eastAsia" w:ascii="华文楷体" w:hAnsi="华文楷体" w:eastAsia="华文楷体"/>
          <w:sz w:val="24"/>
        </w:rPr>
        <w:t>《徽商研究》，张海鹏，王廷元著，安徽人民出版社，1995,7</w:t>
      </w:r>
    </w:p>
    <w:p>
      <w:pPr>
        <w:widowControl/>
        <w:autoSpaceDE w:val="0"/>
        <w:autoSpaceDN w:val="0"/>
        <w:spacing w:line="380" w:lineRule="exact"/>
        <w:ind w:left="567"/>
        <w:textAlignment w:val="bottom"/>
        <w:rPr>
          <w:rFonts w:ascii="华文楷体" w:hAnsi="华文楷体" w:eastAsia="华文楷体"/>
          <w:sz w:val="24"/>
        </w:rPr>
      </w:pPr>
      <w:r>
        <w:rPr>
          <w:rFonts w:hint="eastAsia" w:ascii="华文楷体" w:hAnsi="华文楷体" w:eastAsia="华文楷体"/>
          <w:sz w:val="24"/>
        </w:rPr>
        <w:t xml:space="preserve">《“韦伯式问题”的徽商经验研究》，梁德阔著，安徽师范大学出版社，2014,9 </w:t>
      </w:r>
    </w:p>
    <w:p>
      <w:pPr>
        <w:widowControl/>
        <w:autoSpaceDE w:val="0"/>
        <w:autoSpaceDN w:val="0"/>
        <w:spacing w:line="380" w:lineRule="exact"/>
        <w:ind w:left="780"/>
        <w:textAlignment w:val="bottom"/>
        <w:rPr>
          <w:rFonts w:ascii="华文楷体" w:hAnsi="华文楷体" w:eastAsia="华文楷体"/>
          <w:sz w:val="24"/>
        </w:rPr>
      </w:pPr>
      <w:r>
        <w:rPr>
          <w:rFonts w:hint="eastAsia" w:ascii="华文楷体" w:hAnsi="华文楷体" w:eastAsia="华文楷体"/>
          <w:sz w:val="24"/>
        </w:rPr>
        <w:t>《新教伦理与资本主义精神》，马克斯.韦伯著，九州出版社，2006,12</w:t>
      </w:r>
    </w:p>
    <w:p>
      <w:pPr>
        <w:widowControl/>
        <w:autoSpaceDE w:val="0"/>
        <w:autoSpaceDN w:val="0"/>
        <w:spacing w:line="380" w:lineRule="exact"/>
        <w:ind w:left="780"/>
        <w:textAlignment w:val="bottom"/>
        <w:rPr>
          <w:rFonts w:ascii="华文楷体" w:hAnsi="华文楷体" w:eastAsia="华文楷体"/>
          <w:sz w:val="24"/>
        </w:rPr>
      </w:pPr>
      <w:r>
        <w:rPr>
          <w:rFonts w:hint="eastAsia" w:ascii="华文楷体" w:hAnsi="华文楷体" w:eastAsia="华文楷体"/>
          <w:sz w:val="24"/>
        </w:rPr>
        <w:t>《中国商业通史简编》，吴慧著，中国商业出版社，2015,10</w:t>
      </w:r>
    </w:p>
    <w:p>
      <w:pPr>
        <w:widowControl/>
        <w:autoSpaceDE w:val="0"/>
        <w:autoSpaceDN w:val="0"/>
        <w:spacing w:line="380" w:lineRule="exact"/>
        <w:ind w:left="780"/>
        <w:textAlignment w:val="bottom"/>
        <w:rPr>
          <w:rFonts w:ascii="华文楷体" w:hAnsi="华文楷体" w:eastAsia="华文楷体"/>
          <w:sz w:val="24"/>
        </w:rPr>
      </w:pPr>
      <w:r>
        <w:rPr>
          <w:rFonts w:hint="eastAsia" w:ascii="华文楷体" w:hAnsi="华文楷体" w:eastAsia="华文楷体"/>
          <w:sz w:val="24"/>
        </w:rPr>
        <w:t>《金钱与权力</w:t>
      </w:r>
      <w:r>
        <w:rPr>
          <w:rFonts w:ascii="华文楷体" w:hAnsi="华文楷体" w:eastAsia="华文楷体"/>
          <w:sz w:val="24"/>
        </w:rPr>
        <w:t>—</w:t>
      </w:r>
      <w:r>
        <w:rPr>
          <w:rFonts w:hint="eastAsia" w:ascii="华文楷体" w:hAnsi="华文楷体" w:eastAsia="华文楷体"/>
          <w:sz w:val="24"/>
        </w:rPr>
        <w:t>西方商业的历史》，霍华德.敏斯著，浙江大学出版社，2015,5</w:t>
      </w:r>
    </w:p>
    <w:p>
      <w:pPr>
        <w:widowControl/>
        <w:autoSpaceDE w:val="0"/>
        <w:autoSpaceDN w:val="0"/>
        <w:spacing w:line="380" w:lineRule="exact"/>
        <w:ind w:left="780"/>
        <w:textAlignment w:val="bottom"/>
        <w:rPr>
          <w:rFonts w:ascii="华文楷体" w:hAnsi="华文楷体" w:eastAsia="华文楷体"/>
          <w:sz w:val="24"/>
        </w:rPr>
      </w:pPr>
      <w:r>
        <w:rPr>
          <w:rFonts w:hint="eastAsia" w:ascii="华文楷体" w:hAnsi="华文楷体" w:eastAsia="华文楷体"/>
          <w:sz w:val="24"/>
        </w:rPr>
        <w:t>《中华商业文化探源》，房秀文，林峰著，中国经济出版社，2011,1</w:t>
      </w:r>
    </w:p>
    <w:p>
      <w:pPr>
        <w:widowControl/>
        <w:autoSpaceDE w:val="0"/>
        <w:autoSpaceDN w:val="0"/>
        <w:spacing w:line="380" w:lineRule="exact"/>
        <w:ind w:left="780"/>
        <w:textAlignment w:val="bottom"/>
        <w:rPr>
          <w:rFonts w:ascii="华文楷体" w:hAnsi="华文楷体" w:eastAsia="华文楷体"/>
          <w:sz w:val="24"/>
        </w:rPr>
      </w:pPr>
      <w:r>
        <w:rPr>
          <w:rFonts w:hint="eastAsia" w:ascii="华文楷体" w:hAnsi="华文楷体" w:eastAsia="华文楷体"/>
          <w:sz w:val="24"/>
        </w:rPr>
        <w:t>《变异的传统商业文化》，房秀文，林峰，中国经济出版社，2011,1</w:t>
      </w:r>
    </w:p>
    <w:p>
      <w:pPr>
        <w:widowControl/>
        <w:autoSpaceDE w:val="0"/>
        <w:autoSpaceDN w:val="0"/>
        <w:spacing w:line="380" w:lineRule="exact"/>
        <w:ind w:left="780"/>
        <w:textAlignment w:val="bottom"/>
        <w:rPr>
          <w:rFonts w:ascii="华文楷体" w:hAnsi="华文楷体" w:eastAsia="华文楷体"/>
          <w:sz w:val="24"/>
        </w:rPr>
      </w:pPr>
      <w:r>
        <w:rPr>
          <w:rFonts w:hint="eastAsia" w:ascii="华文楷体" w:hAnsi="华文楷体" w:eastAsia="华文楷体"/>
          <w:sz w:val="24"/>
        </w:rPr>
        <w:t>《中西商业文化大碰撞》，房秀文，林峰著，中国经济出版社，2011,1</w:t>
      </w:r>
    </w:p>
    <w:p>
      <w:pPr>
        <w:widowControl/>
        <w:autoSpaceDE w:val="0"/>
        <w:autoSpaceDN w:val="0"/>
        <w:spacing w:line="380" w:lineRule="exact"/>
        <w:ind w:left="780"/>
        <w:textAlignment w:val="bottom"/>
        <w:rPr>
          <w:rFonts w:ascii="华文楷体" w:hAnsi="华文楷体" w:eastAsia="华文楷体"/>
          <w:sz w:val="24"/>
        </w:rPr>
      </w:pPr>
      <w:r>
        <w:rPr>
          <w:rFonts w:hint="eastAsia" w:ascii="华文楷体" w:hAnsi="华文楷体" w:eastAsia="华文楷体"/>
          <w:sz w:val="24"/>
        </w:rPr>
        <w:t>《海商帝国——郑氏集团的官商关系及其起源》，刘强著，浙江大学出版社，2015,10</w:t>
      </w:r>
    </w:p>
    <w:p>
      <w:pPr>
        <w:widowControl/>
        <w:autoSpaceDE w:val="0"/>
        <w:autoSpaceDN w:val="0"/>
        <w:spacing w:line="380" w:lineRule="exact"/>
        <w:ind w:left="780"/>
        <w:textAlignment w:val="bottom"/>
        <w:rPr>
          <w:rFonts w:ascii="华文楷体" w:hAnsi="华文楷体" w:eastAsia="华文楷体"/>
          <w:sz w:val="24"/>
        </w:rPr>
      </w:pPr>
      <w:r>
        <w:rPr>
          <w:rFonts w:hint="eastAsia" w:ascii="华文楷体" w:hAnsi="华文楷体" w:eastAsia="华文楷体"/>
          <w:sz w:val="24"/>
        </w:rPr>
        <w:t>《变化中的资本主义——美国商业发展史》，（美）斯坦利.布德尔著，中信出版社，2013,4</w:t>
      </w:r>
    </w:p>
    <w:p>
      <w:pPr>
        <w:widowControl/>
        <w:autoSpaceDE w:val="0"/>
        <w:autoSpaceDN w:val="0"/>
        <w:spacing w:line="380" w:lineRule="exact"/>
        <w:ind w:firstLine="720" w:firstLineChars="300"/>
        <w:textAlignment w:val="bottom"/>
        <w:rPr>
          <w:rFonts w:ascii="华文楷体" w:hAnsi="华文楷体" w:eastAsia="华文楷体"/>
          <w:sz w:val="24"/>
        </w:rPr>
      </w:pPr>
      <w:r>
        <w:rPr>
          <w:rFonts w:hint="eastAsia" w:ascii="华文楷体" w:hAnsi="华文楷体" w:eastAsia="华文楷体"/>
          <w:sz w:val="24"/>
        </w:rPr>
        <w:t>《</w:t>
      </w:r>
      <w:r>
        <w:rPr>
          <w:rFonts w:ascii="华文楷体" w:hAnsi="华文楷体" w:eastAsia="华文楷体"/>
          <w:sz w:val="24"/>
        </w:rPr>
        <w:t>日本文化与日本经济发展关系研究</w:t>
      </w:r>
      <w:r>
        <w:rPr>
          <w:rFonts w:hint="eastAsia" w:ascii="华文楷体" w:hAnsi="华文楷体" w:eastAsia="华文楷体"/>
          <w:sz w:val="24"/>
        </w:rPr>
        <w:t>》，</w:t>
      </w:r>
      <w:r>
        <w:fldChar w:fldCharType="begin"/>
      </w:r>
      <w:r>
        <w:instrText xml:space="preserve"> HYPERLINK "http://www.dangdang.com/author/%CC%C6%CF%F2%BA%EC_1" \t "_blank" </w:instrText>
      </w:r>
      <w:r>
        <w:fldChar w:fldCharType="separate"/>
      </w:r>
      <w:r>
        <w:rPr>
          <w:rFonts w:ascii="华文楷体" w:hAnsi="华文楷体" w:eastAsia="华文楷体"/>
          <w:sz w:val="24"/>
        </w:rPr>
        <w:t>唐向红</w:t>
      </w:r>
      <w:r>
        <w:rPr>
          <w:rFonts w:ascii="华文楷体" w:hAnsi="华文楷体" w:eastAsia="华文楷体"/>
          <w:sz w:val="24"/>
        </w:rPr>
        <w:fldChar w:fldCharType="end"/>
      </w:r>
      <w:r>
        <w:rPr>
          <w:rFonts w:hint="eastAsia" w:ascii="华文楷体" w:hAnsi="华文楷体" w:eastAsia="华文楷体"/>
          <w:sz w:val="24"/>
        </w:rPr>
        <w:t>著，东北财经大学出版社，2012,5</w:t>
      </w:r>
    </w:p>
    <w:p>
      <w:pPr>
        <w:widowControl/>
        <w:autoSpaceDE w:val="0"/>
        <w:autoSpaceDN w:val="0"/>
        <w:spacing w:line="380" w:lineRule="exact"/>
        <w:ind w:left="780"/>
        <w:textAlignment w:val="bottom"/>
        <w:rPr>
          <w:rFonts w:ascii="华文楷体" w:hAnsi="华文楷体" w:eastAsia="华文楷体"/>
          <w:sz w:val="24"/>
        </w:rPr>
      </w:pPr>
      <w:r>
        <w:rPr>
          <w:rFonts w:hint="eastAsia" w:ascii="华文楷体" w:hAnsi="华文楷体" w:eastAsia="华文楷体"/>
          <w:sz w:val="24"/>
        </w:rPr>
        <w:t>《明清晋商及民风》，张正明著，人民出版社，2004,2</w:t>
      </w:r>
    </w:p>
    <w:p>
      <w:pPr>
        <w:widowControl/>
        <w:autoSpaceDE w:val="0"/>
        <w:autoSpaceDN w:val="0"/>
        <w:spacing w:line="380" w:lineRule="exact"/>
        <w:ind w:left="780"/>
        <w:textAlignment w:val="bottom"/>
        <w:rPr>
          <w:rFonts w:ascii="华文楷体" w:hAnsi="华文楷体" w:eastAsia="华文楷体"/>
          <w:sz w:val="24"/>
        </w:rPr>
      </w:pPr>
      <w:r>
        <w:rPr>
          <w:rFonts w:hint="eastAsia" w:ascii="华文楷体" w:hAnsi="华文楷体" w:eastAsia="华文楷体"/>
          <w:sz w:val="24"/>
        </w:rPr>
        <w:t>《倭寇——海上历史》，（日）田中健夫著，社会科学文献出版社，2015,12</w:t>
      </w:r>
    </w:p>
    <w:p>
      <w:pPr>
        <w:rPr>
          <w:rFonts w:ascii="黑体" w:hAnsi="Arial" w:eastAsia="黑体"/>
          <w:sz w:val="24"/>
        </w:rPr>
      </w:pPr>
      <w:r>
        <w:rPr>
          <w:rFonts w:hint="eastAsia" w:ascii="黑体" w:hAnsi="Arial" w:eastAsia="黑体"/>
          <w:sz w:val="24"/>
        </w:rPr>
        <w:t>六、考核方式（需明确说明课程成绩各组合部分的百分比以及迟到、旷课、请假、迟交作业等相关政策和扣分原则；考核方式考虑形成性评价与终结性评价相结合）</w:t>
      </w:r>
    </w:p>
    <w:p>
      <w:pPr>
        <w:spacing w:line="320" w:lineRule="exact"/>
        <w:rPr>
          <w:rFonts w:ascii="华文楷体" w:hAnsi="华文楷体" w:eastAsia="华文楷体"/>
          <w:sz w:val="24"/>
        </w:rPr>
      </w:pPr>
      <w:r>
        <w:rPr>
          <w:rFonts w:hint="eastAsia"/>
          <w:sz w:val="24"/>
        </w:rPr>
        <w:t xml:space="preserve">   </w:t>
      </w:r>
      <w:r>
        <w:rPr>
          <w:rFonts w:hint="eastAsia" w:ascii="华文楷体" w:hAnsi="华文楷体" w:eastAsia="华文楷体"/>
          <w:sz w:val="24"/>
        </w:rPr>
        <w:t>学生的成绩将包含以下部分：</w:t>
      </w:r>
    </w:p>
    <w:p>
      <w:pPr>
        <w:spacing w:line="320" w:lineRule="exact"/>
        <w:ind w:firstLine="360" w:firstLineChars="150"/>
        <w:rPr>
          <w:rFonts w:ascii="华文楷体" w:hAnsi="华文楷体" w:eastAsia="华文楷体"/>
          <w:sz w:val="24"/>
        </w:rPr>
      </w:pPr>
      <w:r>
        <w:rPr>
          <w:rFonts w:hint="eastAsia" w:ascii="华文楷体" w:hAnsi="华文楷体" w:eastAsia="华文楷体"/>
          <w:sz w:val="24"/>
        </w:rPr>
        <w:t>出勤和参与      10%</w:t>
      </w:r>
    </w:p>
    <w:p>
      <w:pPr>
        <w:spacing w:line="320" w:lineRule="exact"/>
        <w:ind w:firstLine="360" w:firstLineChars="150"/>
        <w:rPr>
          <w:rFonts w:ascii="华文楷体" w:hAnsi="华文楷体" w:eastAsia="华文楷体"/>
          <w:sz w:val="24"/>
        </w:rPr>
      </w:pPr>
      <w:r>
        <w:rPr>
          <w:rFonts w:hint="eastAsia" w:ascii="华文楷体" w:hAnsi="华文楷体" w:eastAsia="华文楷体"/>
          <w:sz w:val="24"/>
        </w:rPr>
        <w:t>作业            10%</w:t>
      </w:r>
    </w:p>
    <w:p>
      <w:pPr>
        <w:spacing w:line="320" w:lineRule="exact"/>
        <w:ind w:firstLine="360" w:firstLineChars="150"/>
        <w:rPr>
          <w:rFonts w:ascii="华文楷体" w:hAnsi="华文楷体" w:eastAsia="华文楷体"/>
          <w:sz w:val="24"/>
        </w:rPr>
      </w:pPr>
      <w:r>
        <w:rPr>
          <w:rFonts w:hint="eastAsia" w:ascii="华文楷体" w:hAnsi="华文楷体" w:eastAsia="华文楷体"/>
          <w:sz w:val="24"/>
        </w:rPr>
        <w:t>课题分析报告    10%</w:t>
      </w:r>
    </w:p>
    <w:p>
      <w:pPr>
        <w:spacing w:line="320" w:lineRule="exact"/>
        <w:ind w:firstLine="360" w:firstLineChars="150"/>
        <w:rPr>
          <w:rFonts w:ascii="华文楷体" w:hAnsi="华文楷体" w:eastAsia="华文楷体"/>
          <w:sz w:val="24"/>
        </w:rPr>
      </w:pPr>
      <w:r>
        <w:rPr>
          <w:rFonts w:hint="eastAsia" w:ascii="华文楷体" w:hAnsi="华文楷体" w:eastAsia="华文楷体"/>
          <w:sz w:val="24"/>
        </w:rPr>
        <w:t>期中考试        10%</w:t>
      </w:r>
    </w:p>
    <w:p>
      <w:pPr>
        <w:spacing w:line="320" w:lineRule="exact"/>
        <w:ind w:firstLine="360" w:firstLineChars="150"/>
        <w:rPr>
          <w:rFonts w:ascii="华文楷体" w:hAnsi="华文楷体" w:eastAsia="华文楷体"/>
          <w:sz w:val="24"/>
        </w:rPr>
      </w:pPr>
      <w:r>
        <w:rPr>
          <w:rFonts w:hint="eastAsia" w:ascii="华文楷体" w:hAnsi="华文楷体" w:eastAsia="华文楷体"/>
          <w:sz w:val="24"/>
        </w:rPr>
        <w:t>期末考试        60%</w:t>
      </w:r>
    </w:p>
    <w:p>
      <w:pPr>
        <w:spacing w:line="320" w:lineRule="exact"/>
        <w:ind w:left="284"/>
      </w:pPr>
      <w:r>
        <w:rPr>
          <w:rFonts w:hint="eastAsia"/>
        </w:rPr>
        <w:t xml:space="preserve"> 总分             100分</w:t>
      </w:r>
    </w:p>
    <w:p>
      <w:pPr>
        <w:rPr>
          <w:rFonts w:ascii="华文楷体" w:hAnsi="华文楷体" w:eastAsia="华文楷体"/>
          <w:szCs w:val="21"/>
        </w:rPr>
      </w:pPr>
      <w:r>
        <w:rPr>
          <w:rFonts w:hint="eastAsia" w:ascii="华文楷体" w:hAnsi="华文楷体" w:eastAsia="华文楷体"/>
          <w:b/>
          <w:bCs/>
          <w:szCs w:val="21"/>
        </w:rPr>
        <w:t>考勤成绩按每缺勤</w:t>
      </w:r>
      <w:r>
        <w:rPr>
          <w:rFonts w:ascii="华文楷体" w:hAnsi="华文楷体" w:eastAsia="华文楷体"/>
          <w:b/>
          <w:bCs/>
          <w:szCs w:val="21"/>
        </w:rPr>
        <w:t>1</w:t>
      </w:r>
      <w:r>
        <w:rPr>
          <w:rFonts w:hint="eastAsia" w:ascii="华文楷体" w:hAnsi="华文楷体" w:eastAsia="华文楷体"/>
          <w:b/>
          <w:bCs/>
          <w:szCs w:val="21"/>
        </w:rPr>
        <w:t>课时扣</w:t>
      </w:r>
      <w:r>
        <w:rPr>
          <w:rFonts w:ascii="华文楷体" w:hAnsi="华文楷体" w:eastAsia="华文楷体"/>
          <w:b/>
          <w:bCs/>
          <w:szCs w:val="21"/>
        </w:rPr>
        <w:t>1</w:t>
      </w:r>
      <w:r>
        <w:rPr>
          <w:rFonts w:hint="eastAsia" w:ascii="华文楷体" w:hAnsi="华文楷体" w:eastAsia="华文楷体"/>
          <w:b/>
          <w:bCs/>
          <w:szCs w:val="21"/>
        </w:rPr>
        <w:t>分计算。迟到或早退三次按缺勤</w:t>
      </w:r>
      <w:r>
        <w:rPr>
          <w:rFonts w:ascii="华文楷体" w:hAnsi="华文楷体" w:eastAsia="华文楷体"/>
          <w:b/>
          <w:bCs/>
          <w:szCs w:val="21"/>
        </w:rPr>
        <w:t>1</w:t>
      </w:r>
      <w:r>
        <w:rPr>
          <w:rFonts w:hint="eastAsia" w:ascii="华文楷体" w:hAnsi="华文楷体" w:eastAsia="华文楷体"/>
          <w:b/>
          <w:bCs/>
          <w:szCs w:val="21"/>
        </w:rPr>
        <w:t>课时计算，作业迟交一次扣1分。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+mn-cs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D967B4"/>
    <w:multiLevelType w:val="multilevel"/>
    <w:tmpl w:val="4CD967B4"/>
    <w:lvl w:ilvl="0" w:tentative="0">
      <w:start w:val="1"/>
      <w:numFmt w:val="decimal"/>
      <w:lvlText w:val="%1.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1">
    <w:nsid w:val="50C67AA2"/>
    <w:multiLevelType w:val="multilevel"/>
    <w:tmpl w:val="50C67AA2"/>
    <w:lvl w:ilvl="0" w:tentative="0">
      <w:start w:val="2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2236143"/>
    <w:multiLevelType w:val="multilevel"/>
    <w:tmpl w:val="52236143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CE67106"/>
    <w:multiLevelType w:val="multilevel"/>
    <w:tmpl w:val="6CE67106"/>
    <w:lvl w:ilvl="0" w:tentative="0">
      <w:start w:val="5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261"/>
    <w:rsid w:val="000202EF"/>
    <w:rsid w:val="00027B81"/>
    <w:rsid w:val="000350C8"/>
    <w:rsid w:val="00047EC8"/>
    <w:rsid w:val="000554B2"/>
    <w:rsid w:val="000662BC"/>
    <w:rsid w:val="0007012B"/>
    <w:rsid w:val="000743AF"/>
    <w:rsid w:val="00086AAC"/>
    <w:rsid w:val="000904AA"/>
    <w:rsid w:val="00091E0D"/>
    <w:rsid w:val="0009255B"/>
    <w:rsid w:val="000A06DC"/>
    <w:rsid w:val="000A2D37"/>
    <w:rsid w:val="000B73A4"/>
    <w:rsid w:val="000C0A3D"/>
    <w:rsid w:val="000C2D34"/>
    <w:rsid w:val="000D117C"/>
    <w:rsid w:val="000D1C93"/>
    <w:rsid w:val="000D5906"/>
    <w:rsid w:val="000E6C44"/>
    <w:rsid w:val="000F1341"/>
    <w:rsid w:val="000F7F3A"/>
    <w:rsid w:val="00112BC0"/>
    <w:rsid w:val="0011715B"/>
    <w:rsid w:val="0012371C"/>
    <w:rsid w:val="001340C2"/>
    <w:rsid w:val="00141692"/>
    <w:rsid w:val="001506DD"/>
    <w:rsid w:val="00163877"/>
    <w:rsid w:val="0016391D"/>
    <w:rsid w:val="00183EF4"/>
    <w:rsid w:val="0018509B"/>
    <w:rsid w:val="00186B82"/>
    <w:rsid w:val="00192120"/>
    <w:rsid w:val="001A0B3D"/>
    <w:rsid w:val="001A3172"/>
    <w:rsid w:val="001A5472"/>
    <w:rsid w:val="001C1EC7"/>
    <w:rsid w:val="001D1CA3"/>
    <w:rsid w:val="001D3D39"/>
    <w:rsid w:val="001D4401"/>
    <w:rsid w:val="001F6323"/>
    <w:rsid w:val="00207072"/>
    <w:rsid w:val="00216159"/>
    <w:rsid w:val="00223C76"/>
    <w:rsid w:val="00224A98"/>
    <w:rsid w:val="002271DB"/>
    <w:rsid w:val="00243965"/>
    <w:rsid w:val="0027109A"/>
    <w:rsid w:val="002803F4"/>
    <w:rsid w:val="0029264E"/>
    <w:rsid w:val="002B3925"/>
    <w:rsid w:val="002C486A"/>
    <w:rsid w:val="002D24D5"/>
    <w:rsid w:val="002E22FD"/>
    <w:rsid w:val="003003AC"/>
    <w:rsid w:val="00302D29"/>
    <w:rsid w:val="003117BF"/>
    <w:rsid w:val="00314E49"/>
    <w:rsid w:val="003171BA"/>
    <w:rsid w:val="003254FF"/>
    <w:rsid w:val="003257F6"/>
    <w:rsid w:val="003334F2"/>
    <w:rsid w:val="00334FBC"/>
    <w:rsid w:val="00355273"/>
    <w:rsid w:val="00362E9A"/>
    <w:rsid w:val="00375FD8"/>
    <w:rsid w:val="0038230F"/>
    <w:rsid w:val="00393345"/>
    <w:rsid w:val="00397737"/>
    <w:rsid w:val="003C1A6A"/>
    <w:rsid w:val="003C1A73"/>
    <w:rsid w:val="003C556F"/>
    <w:rsid w:val="003D0A5A"/>
    <w:rsid w:val="003D5137"/>
    <w:rsid w:val="003E4B98"/>
    <w:rsid w:val="003F4F0E"/>
    <w:rsid w:val="004160C1"/>
    <w:rsid w:val="0041652C"/>
    <w:rsid w:val="00432488"/>
    <w:rsid w:val="00436588"/>
    <w:rsid w:val="0044479F"/>
    <w:rsid w:val="00451283"/>
    <w:rsid w:val="00472DAF"/>
    <w:rsid w:val="00477990"/>
    <w:rsid w:val="00492E0F"/>
    <w:rsid w:val="00496A20"/>
    <w:rsid w:val="004A1B60"/>
    <w:rsid w:val="004B4BC5"/>
    <w:rsid w:val="004B6489"/>
    <w:rsid w:val="004F1821"/>
    <w:rsid w:val="0050359C"/>
    <w:rsid w:val="00512B70"/>
    <w:rsid w:val="00513FE7"/>
    <w:rsid w:val="00527163"/>
    <w:rsid w:val="00531808"/>
    <w:rsid w:val="00535403"/>
    <w:rsid w:val="005479C8"/>
    <w:rsid w:val="005540DE"/>
    <w:rsid w:val="00564F9D"/>
    <w:rsid w:val="00573EA5"/>
    <w:rsid w:val="00574705"/>
    <w:rsid w:val="0057631A"/>
    <w:rsid w:val="00584C2B"/>
    <w:rsid w:val="005C460D"/>
    <w:rsid w:val="005D1ED4"/>
    <w:rsid w:val="005E13F8"/>
    <w:rsid w:val="005E7064"/>
    <w:rsid w:val="006052AC"/>
    <w:rsid w:val="006446B3"/>
    <w:rsid w:val="00661212"/>
    <w:rsid w:val="006849C2"/>
    <w:rsid w:val="00684AD7"/>
    <w:rsid w:val="00686D22"/>
    <w:rsid w:val="006909A9"/>
    <w:rsid w:val="00690E88"/>
    <w:rsid w:val="00695CA8"/>
    <w:rsid w:val="006A2FFE"/>
    <w:rsid w:val="006E17E4"/>
    <w:rsid w:val="006F16C6"/>
    <w:rsid w:val="006F663C"/>
    <w:rsid w:val="00700A11"/>
    <w:rsid w:val="0070255E"/>
    <w:rsid w:val="00704066"/>
    <w:rsid w:val="00712A5C"/>
    <w:rsid w:val="007166BE"/>
    <w:rsid w:val="00721784"/>
    <w:rsid w:val="007238CA"/>
    <w:rsid w:val="007526D8"/>
    <w:rsid w:val="00752E46"/>
    <w:rsid w:val="00765EA9"/>
    <w:rsid w:val="00770FEA"/>
    <w:rsid w:val="00776FFE"/>
    <w:rsid w:val="00780DFB"/>
    <w:rsid w:val="007857AA"/>
    <w:rsid w:val="00793345"/>
    <w:rsid w:val="007B4890"/>
    <w:rsid w:val="007B6349"/>
    <w:rsid w:val="007B6EB8"/>
    <w:rsid w:val="007C06C6"/>
    <w:rsid w:val="007C4E2D"/>
    <w:rsid w:val="007C72F6"/>
    <w:rsid w:val="007D3406"/>
    <w:rsid w:val="007E27E2"/>
    <w:rsid w:val="007E76F0"/>
    <w:rsid w:val="00802357"/>
    <w:rsid w:val="00802E26"/>
    <w:rsid w:val="00805482"/>
    <w:rsid w:val="00822253"/>
    <w:rsid w:val="00831F1D"/>
    <w:rsid w:val="00833CD3"/>
    <w:rsid w:val="00845DE4"/>
    <w:rsid w:val="00850F98"/>
    <w:rsid w:val="00856A3A"/>
    <w:rsid w:val="0087221E"/>
    <w:rsid w:val="00872846"/>
    <w:rsid w:val="00874F81"/>
    <w:rsid w:val="0087704C"/>
    <w:rsid w:val="0088412C"/>
    <w:rsid w:val="0089040C"/>
    <w:rsid w:val="00897025"/>
    <w:rsid w:val="008A181F"/>
    <w:rsid w:val="008A2E4C"/>
    <w:rsid w:val="008B1A36"/>
    <w:rsid w:val="008C46DE"/>
    <w:rsid w:val="008D4763"/>
    <w:rsid w:val="008E2EB8"/>
    <w:rsid w:val="008E7462"/>
    <w:rsid w:val="008F28D9"/>
    <w:rsid w:val="008F659E"/>
    <w:rsid w:val="009339C9"/>
    <w:rsid w:val="0094151D"/>
    <w:rsid w:val="00950ECE"/>
    <w:rsid w:val="009511AD"/>
    <w:rsid w:val="0096353A"/>
    <w:rsid w:val="009703C1"/>
    <w:rsid w:val="00976362"/>
    <w:rsid w:val="00985D75"/>
    <w:rsid w:val="00990E52"/>
    <w:rsid w:val="00992E7D"/>
    <w:rsid w:val="009A29B4"/>
    <w:rsid w:val="009B008C"/>
    <w:rsid w:val="009B3114"/>
    <w:rsid w:val="009D2814"/>
    <w:rsid w:val="009F574B"/>
    <w:rsid w:val="009F6819"/>
    <w:rsid w:val="00A015F6"/>
    <w:rsid w:val="00A02DC5"/>
    <w:rsid w:val="00A14036"/>
    <w:rsid w:val="00A14FA6"/>
    <w:rsid w:val="00A30C51"/>
    <w:rsid w:val="00A46C02"/>
    <w:rsid w:val="00A53752"/>
    <w:rsid w:val="00A55308"/>
    <w:rsid w:val="00A5786C"/>
    <w:rsid w:val="00A61E83"/>
    <w:rsid w:val="00A62901"/>
    <w:rsid w:val="00A96B8F"/>
    <w:rsid w:val="00A977A3"/>
    <w:rsid w:val="00AA041D"/>
    <w:rsid w:val="00AA3389"/>
    <w:rsid w:val="00AB3F4C"/>
    <w:rsid w:val="00AB623E"/>
    <w:rsid w:val="00AB6DEF"/>
    <w:rsid w:val="00AC0FD3"/>
    <w:rsid w:val="00AC1921"/>
    <w:rsid w:val="00AC4911"/>
    <w:rsid w:val="00AD18F9"/>
    <w:rsid w:val="00AD2E92"/>
    <w:rsid w:val="00AD590B"/>
    <w:rsid w:val="00AF160E"/>
    <w:rsid w:val="00AF5590"/>
    <w:rsid w:val="00AF583D"/>
    <w:rsid w:val="00B0295F"/>
    <w:rsid w:val="00B02E51"/>
    <w:rsid w:val="00B04AC0"/>
    <w:rsid w:val="00B17CD9"/>
    <w:rsid w:val="00B2679F"/>
    <w:rsid w:val="00B34BD6"/>
    <w:rsid w:val="00B417A6"/>
    <w:rsid w:val="00B62295"/>
    <w:rsid w:val="00B80542"/>
    <w:rsid w:val="00B87853"/>
    <w:rsid w:val="00B96E27"/>
    <w:rsid w:val="00BB06A2"/>
    <w:rsid w:val="00BB0776"/>
    <w:rsid w:val="00BC6DD6"/>
    <w:rsid w:val="00BD5CF5"/>
    <w:rsid w:val="00BE3E5E"/>
    <w:rsid w:val="00C122CE"/>
    <w:rsid w:val="00C14F6F"/>
    <w:rsid w:val="00C3002D"/>
    <w:rsid w:val="00C3098A"/>
    <w:rsid w:val="00C31F36"/>
    <w:rsid w:val="00C32792"/>
    <w:rsid w:val="00C4506D"/>
    <w:rsid w:val="00C46A7C"/>
    <w:rsid w:val="00C51B30"/>
    <w:rsid w:val="00C6093B"/>
    <w:rsid w:val="00C647FE"/>
    <w:rsid w:val="00C71FC7"/>
    <w:rsid w:val="00C736D8"/>
    <w:rsid w:val="00C97353"/>
    <w:rsid w:val="00CC195C"/>
    <w:rsid w:val="00CC316C"/>
    <w:rsid w:val="00CD31B8"/>
    <w:rsid w:val="00CE7D5B"/>
    <w:rsid w:val="00CF5E55"/>
    <w:rsid w:val="00D00B7F"/>
    <w:rsid w:val="00D07DD8"/>
    <w:rsid w:val="00D106C3"/>
    <w:rsid w:val="00D20EE1"/>
    <w:rsid w:val="00D25FF4"/>
    <w:rsid w:val="00D331E4"/>
    <w:rsid w:val="00D3321C"/>
    <w:rsid w:val="00D43B72"/>
    <w:rsid w:val="00D62C2B"/>
    <w:rsid w:val="00D67F38"/>
    <w:rsid w:val="00D7451B"/>
    <w:rsid w:val="00D7677D"/>
    <w:rsid w:val="00DA100C"/>
    <w:rsid w:val="00DB02BC"/>
    <w:rsid w:val="00DC1F1E"/>
    <w:rsid w:val="00DD19F5"/>
    <w:rsid w:val="00DD4A57"/>
    <w:rsid w:val="00DD6CF4"/>
    <w:rsid w:val="00DE0944"/>
    <w:rsid w:val="00DE1EA2"/>
    <w:rsid w:val="00DF3687"/>
    <w:rsid w:val="00DF4F25"/>
    <w:rsid w:val="00E027FC"/>
    <w:rsid w:val="00E20708"/>
    <w:rsid w:val="00E209BB"/>
    <w:rsid w:val="00E45A0A"/>
    <w:rsid w:val="00E70C26"/>
    <w:rsid w:val="00E72E91"/>
    <w:rsid w:val="00EA4CB4"/>
    <w:rsid w:val="00EB1CE7"/>
    <w:rsid w:val="00EB6B0D"/>
    <w:rsid w:val="00EC4625"/>
    <w:rsid w:val="00ED5193"/>
    <w:rsid w:val="00ED7BFF"/>
    <w:rsid w:val="00EE35FB"/>
    <w:rsid w:val="00EF0E93"/>
    <w:rsid w:val="00F03381"/>
    <w:rsid w:val="00F24B37"/>
    <w:rsid w:val="00F30CF6"/>
    <w:rsid w:val="00F50636"/>
    <w:rsid w:val="00F5562D"/>
    <w:rsid w:val="00F67002"/>
    <w:rsid w:val="00F71C5B"/>
    <w:rsid w:val="00F76E23"/>
    <w:rsid w:val="00FA1261"/>
    <w:rsid w:val="00FA4B62"/>
    <w:rsid w:val="00FA5C00"/>
    <w:rsid w:val="00FB19CA"/>
    <w:rsid w:val="00FB6210"/>
    <w:rsid w:val="00FC5F88"/>
    <w:rsid w:val="00FD1584"/>
    <w:rsid w:val="00FE4BAE"/>
    <w:rsid w:val="00FF1C0E"/>
    <w:rsid w:val="00FF1CA2"/>
    <w:rsid w:val="00FF51FC"/>
    <w:rsid w:val="457652F5"/>
    <w:rsid w:val="64A92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1"/>
    <w:next w:val="1"/>
    <w:link w:val="18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8">
    <w:name w:val="Default Paragraph Font"/>
    <w:unhideWhenUsed/>
    <w:uiPriority w:val="1"/>
  </w:style>
  <w:style w:type="table" w:default="1" w:styleId="1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5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9">
    <w:name w:val="Emphasis"/>
    <w:basedOn w:val="8"/>
    <w:qFormat/>
    <w:uiPriority w:val="20"/>
    <w:rPr>
      <w:i/>
      <w:iCs/>
    </w:rPr>
  </w:style>
  <w:style w:type="character" w:styleId="10">
    <w:name w:val="Hyperlink"/>
    <w:basedOn w:val="8"/>
    <w:semiHidden/>
    <w:unhideWhenUsed/>
    <w:uiPriority w:val="99"/>
    <w:rPr>
      <w:color w:val="0000FF"/>
      <w:u w:val="single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页眉 Char"/>
    <w:basedOn w:val="8"/>
    <w:link w:val="6"/>
    <w:uiPriority w:val="99"/>
    <w:rPr>
      <w:rFonts w:eastAsia="宋体" w:cs="Times New Roman"/>
      <w:sz w:val="18"/>
      <w:szCs w:val="18"/>
    </w:rPr>
  </w:style>
  <w:style w:type="character" w:customStyle="1" w:styleId="14">
    <w:name w:val="页脚 Char"/>
    <w:basedOn w:val="8"/>
    <w:link w:val="5"/>
    <w:uiPriority w:val="99"/>
    <w:rPr>
      <w:rFonts w:eastAsia="宋体" w:cs="Times New Roman"/>
      <w:sz w:val="18"/>
      <w:szCs w:val="18"/>
    </w:rPr>
  </w:style>
  <w:style w:type="character" w:customStyle="1" w:styleId="15">
    <w:name w:val="批注框文本 Char"/>
    <w:basedOn w:val="8"/>
    <w:link w:val="4"/>
    <w:semiHidden/>
    <w:uiPriority w:val="99"/>
    <w:rPr>
      <w:rFonts w:eastAsia="宋体" w:cs="Times New Roman"/>
      <w:sz w:val="18"/>
      <w:szCs w:val="18"/>
    </w:rPr>
  </w:style>
  <w:style w:type="character" w:customStyle="1" w:styleId="16">
    <w:name w:val="nui-addr-name"/>
    <w:basedOn w:val="8"/>
    <w:uiPriority w:val="0"/>
  </w:style>
  <w:style w:type="character" w:customStyle="1" w:styleId="17">
    <w:name w:val="nui-addr-email"/>
    <w:basedOn w:val="8"/>
    <w:uiPriority w:val="0"/>
  </w:style>
  <w:style w:type="character" w:customStyle="1" w:styleId="18">
    <w:name w:val="标题 3 Char"/>
    <w:basedOn w:val="8"/>
    <w:link w:val="3"/>
    <w:qFormat/>
    <w:uiPriority w:val="9"/>
    <w:rPr>
      <w:rFonts w:ascii="宋体" w:hAnsi="宋体" w:cs="宋体"/>
      <w:b/>
      <w:bCs/>
      <w:sz w:val="27"/>
      <w:szCs w:val="27"/>
    </w:rPr>
  </w:style>
  <w:style w:type="character" w:customStyle="1" w:styleId="19">
    <w:name w:val="标题 1 Char"/>
    <w:basedOn w:val="8"/>
    <w:link w:val="2"/>
    <w:qFormat/>
    <w:uiPriority w:val="9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BFSU</Company>
  <Pages>3</Pages>
  <Words>368</Words>
  <Characters>2099</Characters>
  <Lines>17</Lines>
  <Paragraphs>4</Paragraphs>
  <TotalTime>306</TotalTime>
  <ScaleCrop>false</ScaleCrop>
  <LinksUpToDate>false</LinksUpToDate>
  <CharactersWithSpaces>2463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2016-12-26T14:00:00Z</dcterms:created>
  <dc:creator>北京外国语大学</dc:creator>
  <cp:lastModifiedBy>CAILIN</cp:lastModifiedBy>
  <cp:lastPrinted>2017-05-23T08:02:00Z</cp:lastPrinted>
  <dcterms:modified xsi:type="dcterms:W3CDTF">2018-09-13T09:12:30Z</dcterms:modified>
  <cp:revision>226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